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840F9" w14:textId="60F05BAB" w:rsidR="007B31BE" w:rsidRDefault="001F783A" w:rsidP="009460EE">
      <w:pPr>
        <w:pStyle w:val="Titre"/>
        <w:jc w:val="both"/>
        <w:rPr>
          <w:lang w:val="fr-FR"/>
        </w:rPr>
      </w:pPr>
      <w:r>
        <w:rPr>
          <w:lang w:val="fr-FR"/>
        </w:rPr>
        <w:t>Courte analyse de l’arrêt du 10 juin 2021 annulant l’augmentation des droits de rôle</w:t>
      </w:r>
    </w:p>
    <w:p w14:paraId="7FF987FC" w14:textId="77777777" w:rsidR="009460EE" w:rsidRPr="009460EE" w:rsidRDefault="009460EE" w:rsidP="009460EE">
      <w:pPr>
        <w:rPr>
          <w:lang w:val="fr-FR"/>
        </w:rPr>
      </w:pPr>
    </w:p>
    <w:p w14:paraId="430393A1" w14:textId="7D371013" w:rsidR="009460EE" w:rsidRDefault="0034000E" w:rsidP="009460EE">
      <w:pPr>
        <w:pStyle w:val="Sous-titre"/>
        <w:jc w:val="both"/>
        <w:rPr>
          <w:lang w:val="fr-FR"/>
        </w:rPr>
      </w:pPr>
      <w:r>
        <w:rPr>
          <w:lang w:val="fr-FR"/>
        </w:rPr>
        <w:t>La Cour constitutionnelle s’est prononcée, le 10.6.2021, sur le recours introduit par plusieurs membres de la Plateforme Justice pour Tous</w:t>
      </w:r>
      <w:r w:rsidR="00DC3663">
        <w:rPr>
          <w:rStyle w:val="Appelnotedebasdep"/>
          <w:lang w:val="fr-FR"/>
        </w:rPr>
        <w:footnoteReference w:id="1"/>
      </w:r>
      <w:r>
        <w:rPr>
          <w:lang w:val="fr-FR"/>
        </w:rPr>
        <w:t xml:space="preserve"> (PJPT) contre la loi du 14</w:t>
      </w:r>
      <w:r w:rsidR="007B31BE">
        <w:rPr>
          <w:lang w:val="fr-FR"/>
        </w:rPr>
        <w:t>.10.</w:t>
      </w:r>
      <w:r>
        <w:rPr>
          <w:lang w:val="fr-FR"/>
        </w:rPr>
        <w:t>2018 réformant les droits de greffe</w:t>
      </w:r>
      <w:r>
        <w:rPr>
          <w:rStyle w:val="Appelnotedebasdep"/>
          <w:lang w:val="fr-FR"/>
        </w:rPr>
        <w:footnoteReference w:id="2"/>
      </w:r>
      <w:r>
        <w:rPr>
          <w:lang w:val="fr-FR"/>
        </w:rPr>
        <w:t>.</w:t>
      </w:r>
      <w:r w:rsidR="009460EE">
        <w:rPr>
          <w:lang w:val="fr-FR"/>
        </w:rPr>
        <w:t xml:space="preserve"> </w:t>
      </w:r>
      <w:r w:rsidR="00C07A7B">
        <w:rPr>
          <w:lang w:val="fr-FR"/>
        </w:rPr>
        <w:t>Elle a annulé l’augmentation des droits de rôle pour les justiciables dont les revenus se situent entre les anciens et les nouveaux seuils de l’aide juridique, dont la cause a été inscrite au rôle entre le 1.2.2019 et le 31.8.2020, qui ont fait l’objet d’un</w:t>
      </w:r>
      <w:r w:rsidR="005D2D65">
        <w:rPr>
          <w:lang w:val="fr-FR"/>
        </w:rPr>
        <w:t>e</w:t>
      </w:r>
      <w:r w:rsidR="00C07A7B">
        <w:rPr>
          <w:lang w:val="fr-FR"/>
        </w:rPr>
        <w:t xml:space="preserve"> condamnation au paiement des droits de mise au rôle au plus tard le 31.8.2020.</w:t>
      </w:r>
    </w:p>
    <w:p w14:paraId="52C74318" w14:textId="5746E237" w:rsidR="00C07A7B" w:rsidRPr="009460EE" w:rsidRDefault="00C07A7B" w:rsidP="009460EE">
      <w:pPr>
        <w:pStyle w:val="Sous-titre"/>
        <w:jc w:val="both"/>
        <w:rPr>
          <w:b/>
          <w:lang w:val="fr-FR"/>
        </w:rPr>
      </w:pPr>
      <w:r w:rsidRPr="009460EE">
        <w:rPr>
          <w:b/>
          <w:lang w:val="fr-FR"/>
        </w:rPr>
        <w:t>Le coût de l’exercice du droit à l’accès au juge peut représenter une charge considérable</w:t>
      </w:r>
      <w:r w:rsidR="00AF43A2" w:rsidRPr="009460EE">
        <w:rPr>
          <w:b/>
          <w:lang w:val="fr-FR"/>
        </w:rPr>
        <w:t>, voire impayable</w:t>
      </w:r>
    </w:p>
    <w:p w14:paraId="7D3F3E7C" w14:textId="49258E40" w:rsidR="004C7700" w:rsidRDefault="004C7700" w:rsidP="009460EE">
      <w:pPr>
        <w:jc w:val="both"/>
        <w:rPr>
          <w:lang w:val="fr-FR"/>
        </w:rPr>
      </w:pPr>
      <w:r>
        <w:rPr>
          <w:lang w:val="fr-FR"/>
        </w:rPr>
        <w:t>Reprenant les observations du Conseil d’Etat et du Conseil Supérieur de la Justice dans le cadre des travaux préparatoires, la Cour a rappelé la charge financière totale liée à l’engagement d’une procédure judiciaire, et le fait que la pression financière sur les procédures judiciaires a systématiquement augmenté</w:t>
      </w:r>
      <w:r w:rsidR="0035533D">
        <w:rPr>
          <w:lang w:val="fr-FR"/>
        </w:rPr>
        <w:t xml:space="preserve"> depuis plus de dix ans</w:t>
      </w:r>
      <w:r>
        <w:rPr>
          <w:lang w:val="fr-FR"/>
        </w:rPr>
        <w:t xml:space="preserve">. </w:t>
      </w:r>
    </w:p>
    <w:p w14:paraId="2F8E15FD" w14:textId="1508D532" w:rsidR="00C07A7B" w:rsidRDefault="00C07A7B" w:rsidP="009460EE">
      <w:pPr>
        <w:jc w:val="both"/>
        <w:rPr>
          <w:lang w:val="fr-FR"/>
        </w:rPr>
      </w:pPr>
      <w:r>
        <w:rPr>
          <w:lang w:val="fr-FR"/>
        </w:rPr>
        <w:t>La Cour, pour la première fois, compare les frais de justice au revenu mensuel moyen des ménages. Elle retient que le</w:t>
      </w:r>
      <w:r w:rsidR="00AF43A2">
        <w:rPr>
          <w:lang w:val="fr-FR"/>
        </w:rPr>
        <w:t xml:space="preserve"> coût total </w:t>
      </w:r>
      <w:r>
        <w:rPr>
          <w:lang w:val="fr-FR"/>
        </w:rPr>
        <w:t xml:space="preserve">d’une procédure judiciaire (frais d’avocat et appel compris) </w:t>
      </w:r>
      <w:r w:rsidR="00AF43A2">
        <w:rPr>
          <w:lang w:val="fr-FR"/>
        </w:rPr>
        <w:t xml:space="preserve">peut représenter </w:t>
      </w:r>
      <w:r>
        <w:rPr>
          <w:lang w:val="fr-FR"/>
        </w:rPr>
        <w:t>plus de 220 % du revenu mensuel moyen des ménages dont les moyens d’existence se situent juste au-delà du plafond fixé pour bénéficier de l’aide juridique</w:t>
      </w:r>
      <w:r w:rsidR="0035533D">
        <w:rPr>
          <w:lang w:val="fr-FR"/>
        </w:rPr>
        <w:t xml:space="preserve"> avant la réforme de l’aide juridique par la loi du 31.7.2020</w:t>
      </w:r>
      <w:r w:rsidR="0035533D">
        <w:rPr>
          <w:rStyle w:val="Appelnotedebasdep"/>
          <w:lang w:val="fr-FR"/>
        </w:rPr>
        <w:footnoteReference w:id="3"/>
      </w:r>
      <w:r>
        <w:rPr>
          <w:lang w:val="fr-FR"/>
        </w:rPr>
        <w:t>.</w:t>
      </w:r>
      <w:r w:rsidR="009A0E27">
        <w:rPr>
          <w:lang w:val="fr-FR"/>
        </w:rPr>
        <w:t xml:space="preserve"> Ces </w:t>
      </w:r>
      <w:r w:rsidR="0035533D">
        <w:rPr>
          <w:lang w:val="fr-FR"/>
        </w:rPr>
        <w:t>personnes</w:t>
      </w:r>
      <w:r w:rsidR="009A0E27">
        <w:rPr>
          <w:lang w:val="fr-FR"/>
        </w:rPr>
        <w:t>, dont les revenus pour un isolé se situent entre 1026 € et 1517 €, et pour un ménage entre 1317 € et 1807 € (auxquels s’ajoutent 194,39 € par personne à charge), représentent un nombre non négligeable</w:t>
      </w:r>
      <w:r w:rsidR="0035533D">
        <w:rPr>
          <w:lang w:val="fr-FR"/>
        </w:rPr>
        <w:t xml:space="preserve"> </w:t>
      </w:r>
      <w:r w:rsidR="00AF43A2">
        <w:rPr>
          <w:lang w:val="fr-FR"/>
        </w:rPr>
        <w:t xml:space="preserve">de </w:t>
      </w:r>
      <w:r w:rsidR="0035533D">
        <w:rPr>
          <w:lang w:val="fr-FR"/>
        </w:rPr>
        <w:t>justiciables</w:t>
      </w:r>
      <w:r w:rsidR="009A0E27">
        <w:rPr>
          <w:lang w:val="fr-FR"/>
        </w:rPr>
        <w:t xml:space="preserve">, dit la Cour, « vu le revenu médian </w:t>
      </w:r>
      <w:r w:rsidR="00AF43A2">
        <w:rPr>
          <w:lang w:val="fr-FR"/>
        </w:rPr>
        <w:t xml:space="preserve">des ménages belges, </w:t>
      </w:r>
      <w:r w:rsidR="009A0E27">
        <w:rPr>
          <w:lang w:val="fr-FR"/>
        </w:rPr>
        <w:t>mensuel estimé à un peu moins de 2000 €</w:t>
      </w:r>
      <w:r w:rsidR="00AF43A2">
        <w:rPr>
          <w:lang w:val="fr-FR"/>
        </w:rPr>
        <w:t> »</w:t>
      </w:r>
      <w:r w:rsidR="009A0E27">
        <w:rPr>
          <w:lang w:val="fr-FR"/>
        </w:rPr>
        <w:t xml:space="preserve">. </w:t>
      </w:r>
    </w:p>
    <w:p w14:paraId="011BAAA9" w14:textId="321F9674" w:rsidR="009460EE" w:rsidRDefault="009A0E27" w:rsidP="009460EE">
      <w:pPr>
        <w:jc w:val="both"/>
        <w:rPr>
          <w:lang w:val="fr-FR"/>
        </w:rPr>
      </w:pPr>
      <w:r>
        <w:rPr>
          <w:lang w:val="fr-FR"/>
        </w:rPr>
        <w:t>La Cour juge par ailleurs, comme la Plateforme l’a toujours dénoncé, que ce coût peut constituer une charge excessive « </w:t>
      </w:r>
      <w:r w:rsidRPr="009A0E27">
        <w:rPr>
          <w:i/>
          <w:iCs/>
          <w:lang w:val="fr-FR"/>
        </w:rPr>
        <w:t xml:space="preserve">quelle que soit </w:t>
      </w:r>
      <w:r w:rsidR="0035533D">
        <w:rPr>
          <w:i/>
          <w:iCs/>
          <w:lang w:val="fr-FR"/>
        </w:rPr>
        <w:t>(…)</w:t>
      </w:r>
      <w:r w:rsidRPr="009A0E27">
        <w:rPr>
          <w:i/>
          <w:iCs/>
          <w:lang w:val="fr-FR"/>
        </w:rPr>
        <w:t xml:space="preserve"> l’étape de la procédure à laquelle ces couts sont dus</w:t>
      </w:r>
      <w:r>
        <w:rPr>
          <w:lang w:val="fr-FR"/>
        </w:rPr>
        <w:t xml:space="preserve"> ». Le législateur avait en effet soutenu que l’augmentation des droits de rôle n’avait pas d’impact sur le droit </w:t>
      </w:r>
      <w:r w:rsidRPr="009A0E27">
        <w:rPr>
          <w:i/>
          <w:iCs/>
          <w:lang w:val="fr-FR"/>
        </w:rPr>
        <w:t>d’accès</w:t>
      </w:r>
      <w:r>
        <w:rPr>
          <w:lang w:val="fr-FR"/>
        </w:rPr>
        <w:t xml:space="preserve"> </w:t>
      </w:r>
      <w:r w:rsidR="005D2D65">
        <w:rPr>
          <w:lang w:val="fr-FR"/>
        </w:rPr>
        <w:t xml:space="preserve">à </w:t>
      </w:r>
      <w:r>
        <w:rPr>
          <w:lang w:val="fr-FR"/>
        </w:rPr>
        <w:t>un juge, en déplaçant le paiement des droits de rôle du début à la fin de la procédure.</w:t>
      </w:r>
    </w:p>
    <w:p w14:paraId="00DBB9E9" w14:textId="77777777" w:rsidR="009460EE" w:rsidRPr="009460EE" w:rsidRDefault="009460EE" w:rsidP="009460EE">
      <w:pPr>
        <w:jc w:val="both"/>
        <w:rPr>
          <w:lang w:val="fr-FR"/>
        </w:rPr>
      </w:pPr>
    </w:p>
    <w:p w14:paraId="510823BE" w14:textId="1C86F96E" w:rsidR="00C07A7B" w:rsidRPr="009460EE" w:rsidRDefault="00C07A7B" w:rsidP="009460EE">
      <w:pPr>
        <w:pStyle w:val="Sous-titre"/>
        <w:rPr>
          <w:b/>
          <w:lang w:val="fr-FR"/>
        </w:rPr>
      </w:pPr>
      <w:r w:rsidRPr="009460EE">
        <w:rPr>
          <w:b/>
          <w:lang w:val="fr-FR"/>
        </w:rPr>
        <w:t>L’annulation a une portée limitée</w:t>
      </w:r>
    </w:p>
    <w:p w14:paraId="104EFF41" w14:textId="390D465E" w:rsidR="00C07A7B" w:rsidRDefault="00C27985" w:rsidP="009460EE">
      <w:pPr>
        <w:jc w:val="both"/>
        <w:rPr>
          <w:lang w:val="fr-FR"/>
        </w:rPr>
      </w:pPr>
      <w:r>
        <w:rPr>
          <w:lang w:val="fr-FR"/>
        </w:rPr>
        <w:t>L</w:t>
      </w:r>
      <w:r w:rsidR="009A0E27">
        <w:rPr>
          <w:lang w:val="fr-FR"/>
        </w:rPr>
        <w:t>a Cour annule l’augmentation des droits de rôle</w:t>
      </w:r>
      <w:r w:rsidR="009A0E27">
        <w:rPr>
          <w:rStyle w:val="Appelnotedebasdep"/>
          <w:lang w:val="fr-FR"/>
        </w:rPr>
        <w:footnoteReference w:id="4"/>
      </w:r>
      <w:r w:rsidR="009A0E27">
        <w:rPr>
          <w:lang w:val="fr-FR"/>
        </w:rPr>
        <w:t xml:space="preserve"> pour les justiciables dont les revenus pour un isolé se situent entre 1026 € et 1517 €, et pour un ménage entre 1317 € et 1807 € (auxquels s’ajoutent </w:t>
      </w:r>
      <w:r w:rsidR="009A0E27">
        <w:rPr>
          <w:lang w:val="fr-FR"/>
        </w:rPr>
        <w:lastRenderedPageBreak/>
        <w:t>194,39 € par personne à charge), dont la cause a été inscrite au rôle entre le 1.2.2019 et le 31.8.2020, qui ont fait l’objet d’un</w:t>
      </w:r>
      <w:r w:rsidR="005D2D65">
        <w:rPr>
          <w:lang w:val="fr-FR"/>
        </w:rPr>
        <w:t>e</w:t>
      </w:r>
      <w:r w:rsidR="009A0E27">
        <w:rPr>
          <w:lang w:val="fr-FR"/>
        </w:rPr>
        <w:t xml:space="preserve"> condamnation au paiement des droits de mise au rôle au plus tard le 31.8.2020.</w:t>
      </w:r>
    </w:p>
    <w:p w14:paraId="22E3E5D1" w14:textId="65B09630" w:rsidR="00C27985" w:rsidRDefault="00C27985" w:rsidP="009460EE">
      <w:pPr>
        <w:jc w:val="both"/>
        <w:rPr>
          <w:lang w:val="fr-FR"/>
        </w:rPr>
      </w:pPr>
      <w:r>
        <w:rPr>
          <w:lang w:val="fr-FR"/>
        </w:rPr>
        <w:t xml:space="preserve">Le paiement des droits de rôle est sollicité par le SPF Finances. Concrètement, le justiciable qui se trouve dans le cas de figure visé par l’arrêt peut solliciter l’application des droits de rôle applicables avant l’entrée en vigueur de la loi du 14.10.2018. </w:t>
      </w:r>
    </w:p>
    <w:p w14:paraId="427E9018" w14:textId="1D6EC3A1" w:rsidR="00C27985" w:rsidRDefault="00C27985" w:rsidP="009460EE">
      <w:pPr>
        <w:jc w:val="both"/>
        <w:rPr>
          <w:lang w:val="fr-FR"/>
        </w:rPr>
      </w:pPr>
      <w:r>
        <w:rPr>
          <w:lang w:val="fr-FR"/>
        </w:rPr>
        <w:t>Depuis le 1.9.2020, la catégorie de justiciables visée par la Cour est bénéficiaire de l’aide juridique, de sorte qu’elle est dispensée du paiement des droits de rôle.</w:t>
      </w:r>
    </w:p>
    <w:p w14:paraId="3D53ADBD" w14:textId="77777777" w:rsidR="009460EE" w:rsidRPr="00C07A7B" w:rsidRDefault="009460EE" w:rsidP="009460EE">
      <w:pPr>
        <w:jc w:val="both"/>
        <w:rPr>
          <w:lang w:val="fr-FR"/>
        </w:rPr>
      </w:pPr>
    </w:p>
    <w:p w14:paraId="1572EFBC" w14:textId="2C323AF6" w:rsidR="00C07A7B" w:rsidRPr="009460EE" w:rsidRDefault="00C07A7B" w:rsidP="009460EE">
      <w:pPr>
        <w:pStyle w:val="Sous-titre"/>
        <w:rPr>
          <w:b/>
          <w:lang w:val="fr-FR"/>
        </w:rPr>
      </w:pPr>
      <w:r w:rsidRPr="009460EE">
        <w:rPr>
          <w:b/>
          <w:lang w:val="fr-FR"/>
        </w:rPr>
        <w:t>Le travail de la Plateforme continue</w:t>
      </w:r>
    </w:p>
    <w:p w14:paraId="15809E66" w14:textId="17BA0F60" w:rsidR="00C07A7B" w:rsidRDefault="00C27985" w:rsidP="009460EE">
      <w:pPr>
        <w:jc w:val="both"/>
        <w:rPr>
          <w:lang w:val="fr-FR"/>
        </w:rPr>
      </w:pPr>
      <w:r>
        <w:rPr>
          <w:lang w:val="fr-FR"/>
        </w:rPr>
        <w:t>La Plateforme est consciente que l’annulation prononcée par la Cour sera difficilement mise en pratique. Outre la question de l’information du justiciable, se pose la question de</w:t>
      </w:r>
      <w:r w:rsidR="0035533D">
        <w:rPr>
          <w:lang w:val="fr-FR"/>
        </w:rPr>
        <w:t xml:space="preserve"> l’application rétroactive de l’arrêt et de la</w:t>
      </w:r>
      <w:r>
        <w:rPr>
          <w:lang w:val="fr-FR"/>
        </w:rPr>
        <w:t xml:space="preserve"> charge de la preuve qui incombe</w:t>
      </w:r>
      <w:r w:rsidR="0035533D">
        <w:rPr>
          <w:lang w:val="fr-FR"/>
        </w:rPr>
        <w:t xml:space="preserve"> au justiciable</w:t>
      </w:r>
      <w:r>
        <w:rPr>
          <w:lang w:val="fr-FR"/>
        </w:rPr>
        <w:t xml:space="preserve">, notamment pour démontrer les revenus de son ménage durant la période litigieuse. </w:t>
      </w:r>
    </w:p>
    <w:p w14:paraId="74D3FAF5" w14:textId="0C1A0005" w:rsidR="00C27985" w:rsidRDefault="00C27985" w:rsidP="009460EE">
      <w:pPr>
        <w:jc w:val="both"/>
        <w:rPr>
          <w:lang w:val="fr-FR"/>
        </w:rPr>
      </w:pPr>
      <w:r>
        <w:rPr>
          <w:lang w:val="fr-FR"/>
        </w:rPr>
        <w:t>La Plateforme salue toutefois l’arrêt commenté, en ce qu’il reconnait la pression financière importante représentée par les procédure</w:t>
      </w:r>
      <w:r w:rsidR="005D2D65">
        <w:rPr>
          <w:lang w:val="fr-FR"/>
        </w:rPr>
        <w:t>s</w:t>
      </w:r>
      <w:r>
        <w:rPr>
          <w:lang w:val="fr-FR"/>
        </w:rPr>
        <w:t xml:space="preserve"> judiciaires sur le budget d’une part non négligeable de ménage, et aboutit à une annulation partielle des normes attaquées. </w:t>
      </w:r>
      <w:r w:rsidR="0035533D">
        <w:rPr>
          <w:lang w:val="fr-FR"/>
        </w:rPr>
        <w:t>La Plateforme se réjouit que cette pression financière soit objectivée au regard du revenu médian</w:t>
      </w:r>
      <w:r w:rsidR="0035533D">
        <w:rPr>
          <w:rStyle w:val="Appelnotedebasdep"/>
          <w:lang w:val="fr-FR"/>
        </w:rPr>
        <w:footnoteReference w:id="5"/>
      </w:r>
      <w:r w:rsidR="0035533D">
        <w:rPr>
          <w:lang w:val="fr-FR"/>
        </w:rPr>
        <w:t>.</w:t>
      </w:r>
    </w:p>
    <w:p w14:paraId="0CEC417B" w14:textId="0401A906" w:rsidR="00446F47" w:rsidRDefault="00C27985" w:rsidP="009460EE">
      <w:pPr>
        <w:jc w:val="both"/>
        <w:rPr>
          <w:lang w:val="fr-FR"/>
        </w:rPr>
      </w:pPr>
      <w:r>
        <w:rPr>
          <w:lang w:val="fr-FR"/>
        </w:rPr>
        <w:t>Elle salue également la demande de la Cour, formulée à l’attention du législateur, de prendre en compte</w:t>
      </w:r>
      <w:r w:rsidR="00446F47">
        <w:rPr>
          <w:lang w:val="fr-FR"/>
        </w:rPr>
        <w:t> </w:t>
      </w:r>
      <w:r>
        <w:rPr>
          <w:lang w:val="fr-FR"/>
        </w:rPr>
        <w:t>l’</w:t>
      </w:r>
      <w:r w:rsidR="00446F47">
        <w:rPr>
          <w:lang w:val="fr-FR"/>
        </w:rPr>
        <w:t>« </w:t>
      </w:r>
      <w:r w:rsidR="00446F47" w:rsidRPr="00A5786A">
        <w:rPr>
          <w:i/>
          <w:iCs/>
          <w:lang w:val="fr-FR"/>
        </w:rPr>
        <w:t>inégalité relative des armes (…) pour adapter le cas échéant les règles relatives à l’aide juridictionnelle, compte tenu des coûts réels de la procédure</w:t>
      </w:r>
      <w:r w:rsidR="00446F47">
        <w:rPr>
          <w:lang w:val="fr-FR"/>
        </w:rPr>
        <w:t xml:space="preserve">. » </w:t>
      </w:r>
      <w:r w:rsidR="0035533D">
        <w:rPr>
          <w:lang w:val="fr-FR"/>
        </w:rPr>
        <w:t xml:space="preserve">Toute nouvelle réforme ayant pour effet l’augmentation globale des frais de justice devra s’accompagner d’une augmentation des plafonds de l’aide juridique. </w:t>
      </w:r>
    </w:p>
    <w:p w14:paraId="4EBE0DDE" w14:textId="63AAA251" w:rsidR="0035533D" w:rsidRDefault="0035533D" w:rsidP="009460EE">
      <w:pPr>
        <w:jc w:val="both"/>
        <w:rPr>
          <w:lang w:val="fr-FR"/>
        </w:rPr>
      </w:pPr>
      <w:r>
        <w:rPr>
          <w:lang w:val="fr-FR"/>
        </w:rPr>
        <w:t>Par contre, la Plateforme déplore le fait que la Cour juge « </w:t>
      </w:r>
      <w:r w:rsidRPr="0035533D">
        <w:rPr>
          <w:i/>
          <w:iCs/>
          <w:lang w:val="fr-FR"/>
        </w:rPr>
        <w:t>légitime</w:t>
      </w:r>
      <w:r>
        <w:rPr>
          <w:lang w:val="fr-FR"/>
        </w:rPr>
        <w:t>s » les objectifs « </w:t>
      </w:r>
      <w:r w:rsidRPr="0035533D">
        <w:rPr>
          <w:i/>
          <w:iCs/>
          <w:lang w:val="fr-FR"/>
        </w:rPr>
        <w:t>de réaliser des économies budgétaires, de renforcer la participation raisonnable du justiciable aux frais de la procédure, et de promouvoir les formes alternatives de résolution des litiges</w:t>
      </w:r>
      <w:r>
        <w:rPr>
          <w:lang w:val="fr-FR"/>
        </w:rPr>
        <w:t> » en augmentant les frais de justice. Il est en effet inadmissible que des économies budgétaires soient réalisées sur le dos du justiciable, que la justice soit financée par le justiciable, et que l</w:t>
      </w:r>
      <w:r w:rsidR="002D03DB">
        <w:rPr>
          <w:lang w:val="fr-FR"/>
        </w:rPr>
        <w:t>e non-</w:t>
      </w:r>
      <w:r>
        <w:rPr>
          <w:lang w:val="fr-FR"/>
        </w:rPr>
        <w:t>accès au juge soit organisé afin de promouvoir les formes alternatives de résolution des litiges (non prises en charge par l’aide juridique).</w:t>
      </w:r>
    </w:p>
    <w:p w14:paraId="6BF0F885" w14:textId="1748A174" w:rsidR="0035533D" w:rsidRDefault="0035533D" w:rsidP="009460EE">
      <w:pPr>
        <w:jc w:val="both"/>
        <w:rPr>
          <w:lang w:val="fr-FR"/>
        </w:rPr>
      </w:pPr>
      <w:r>
        <w:rPr>
          <w:lang w:val="fr-FR"/>
        </w:rPr>
        <w:t>La</w:t>
      </w:r>
      <w:r w:rsidR="00A5786A">
        <w:rPr>
          <w:lang w:val="fr-FR"/>
        </w:rPr>
        <w:t xml:space="preserve"> Plateforme réitère que la</w:t>
      </w:r>
      <w:r>
        <w:rPr>
          <w:lang w:val="fr-FR"/>
        </w:rPr>
        <w:t xml:space="preserve"> justice est un service public, qui doit être financé par le budget fédéral, afin qu’il soit accessible à tous.</w:t>
      </w:r>
    </w:p>
    <w:p w14:paraId="2FED95ED" w14:textId="77777777" w:rsidR="008A6A96" w:rsidRPr="0034000E" w:rsidRDefault="008A6A96" w:rsidP="009460EE">
      <w:pPr>
        <w:jc w:val="both"/>
        <w:rPr>
          <w:lang w:val="fr-FR"/>
        </w:rPr>
      </w:pPr>
    </w:p>
    <w:sectPr w:rsidR="008A6A96" w:rsidRPr="003400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7CB20" w14:textId="77777777" w:rsidR="00827EA9" w:rsidRDefault="00827EA9" w:rsidP="0034000E">
      <w:pPr>
        <w:spacing w:after="0" w:line="240" w:lineRule="auto"/>
      </w:pPr>
      <w:r>
        <w:separator/>
      </w:r>
    </w:p>
  </w:endnote>
  <w:endnote w:type="continuationSeparator" w:id="0">
    <w:p w14:paraId="7A0682A9" w14:textId="77777777" w:rsidR="00827EA9" w:rsidRDefault="00827EA9" w:rsidP="00340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F9D2F" w14:textId="77777777" w:rsidR="00827EA9" w:rsidRDefault="00827EA9" w:rsidP="0034000E">
      <w:pPr>
        <w:spacing w:after="0" w:line="240" w:lineRule="auto"/>
      </w:pPr>
      <w:r>
        <w:separator/>
      </w:r>
    </w:p>
  </w:footnote>
  <w:footnote w:type="continuationSeparator" w:id="0">
    <w:p w14:paraId="1FBCEB21" w14:textId="77777777" w:rsidR="00827EA9" w:rsidRDefault="00827EA9" w:rsidP="0034000E">
      <w:pPr>
        <w:spacing w:after="0" w:line="240" w:lineRule="auto"/>
      </w:pPr>
      <w:r>
        <w:continuationSeparator/>
      </w:r>
    </w:p>
  </w:footnote>
  <w:footnote w:id="1">
    <w:p w14:paraId="14265758" w14:textId="698370F2" w:rsidR="00DC3663" w:rsidRPr="009A0E27" w:rsidRDefault="00DC3663" w:rsidP="009A0E27">
      <w:pPr>
        <w:pStyle w:val="Notedebasdepage"/>
        <w:jc w:val="both"/>
      </w:pPr>
      <w:r w:rsidRPr="009A0E27">
        <w:rPr>
          <w:rStyle w:val="Appelnotedebasdep"/>
        </w:rPr>
        <w:footnoteRef/>
      </w:r>
      <w:r w:rsidRPr="009A0E27">
        <w:t xml:space="preserve"> Le Syndicat des Avocats pour la Démocratie, l’Atelier des Droits Sociau</w:t>
      </w:r>
      <w:r w:rsidR="00AF43A2">
        <w:t>x</w:t>
      </w:r>
      <w:r w:rsidRPr="009A0E27">
        <w:t xml:space="preserve">, le Réseau Belge de Lutte contre la Pauvreté, le Réseau Wallon de Lutte contre la Pauvreté, la Ligue des droits humains et </w:t>
      </w:r>
      <w:r w:rsidR="00AF43A2">
        <w:t>L</w:t>
      </w:r>
      <w:r w:rsidRPr="009A0E27">
        <w:t>‘Association Syndicale des Magistrats.</w:t>
      </w:r>
    </w:p>
  </w:footnote>
  <w:footnote w:id="2">
    <w:p w14:paraId="529D0AF1" w14:textId="3E068318" w:rsidR="0034000E" w:rsidRPr="009A0E27" w:rsidRDefault="0034000E" w:rsidP="009A0E27">
      <w:pPr>
        <w:pStyle w:val="Notedebasdepage"/>
        <w:jc w:val="both"/>
        <w:rPr>
          <w:lang w:val="fr-FR"/>
        </w:rPr>
      </w:pPr>
      <w:r w:rsidRPr="009A0E27">
        <w:rPr>
          <w:rStyle w:val="Appelnotedebasdep"/>
        </w:rPr>
        <w:footnoteRef/>
      </w:r>
      <w:r w:rsidRPr="009A0E27">
        <w:t xml:space="preserve"> </w:t>
      </w:r>
      <w:r w:rsidRPr="009A0E27">
        <w:rPr>
          <w:lang w:val="fr-FR"/>
        </w:rPr>
        <w:t xml:space="preserve">Loi du 14.10.2018 modifiant le Code des droits d’enregistrement, d’hypothèque et de greffe en vue de réformer les droits de greffe, </w:t>
      </w:r>
      <w:r w:rsidRPr="009A0E27">
        <w:rPr>
          <w:i/>
          <w:iCs/>
          <w:lang w:val="fr-FR"/>
        </w:rPr>
        <w:t>M.B.</w:t>
      </w:r>
      <w:r w:rsidRPr="009A0E27">
        <w:rPr>
          <w:lang w:val="fr-FR"/>
        </w:rPr>
        <w:t xml:space="preserve"> 20.12.2018.</w:t>
      </w:r>
    </w:p>
  </w:footnote>
  <w:footnote w:id="3">
    <w:p w14:paraId="035BEDAD" w14:textId="3BEFA21D" w:rsidR="0035533D" w:rsidRPr="0035533D" w:rsidRDefault="0035533D">
      <w:pPr>
        <w:pStyle w:val="Notedebasdepage"/>
      </w:pPr>
      <w:r>
        <w:rPr>
          <w:rStyle w:val="Appelnotedebasdep"/>
        </w:rPr>
        <w:footnoteRef/>
      </w:r>
      <w:r>
        <w:t xml:space="preserve"> </w:t>
      </w:r>
      <w:r w:rsidR="00AF43A2">
        <w:t>E</w:t>
      </w:r>
      <w:proofErr w:type="spellStart"/>
      <w:r>
        <w:rPr>
          <w:lang w:val="fr-FR"/>
        </w:rPr>
        <w:t>ntrée</w:t>
      </w:r>
      <w:proofErr w:type="spellEnd"/>
      <w:r>
        <w:rPr>
          <w:lang w:val="fr-FR"/>
        </w:rPr>
        <w:t xml:space="preserve"> en vigueur le 1.9.2020</w:t>
      </w:r>
      <w:r w:rsidR="002F17E7">
        <w:rPr>
          <w:lang w:val="fr-FR"/>
        </w:rPr>
        <w:t>.</w:t>
      </w:r>
      <w:bookmarkStart w:id="0" w:name="_GoBack"/>
      <w:bookmarkEnd w:id="0"/>
    </w:p>
  </w:footnote>
  <w:footnote w:id="4">
    <w:p w14:paraId="381B2B11" w14:textId="36066A38" w:rsidR="009A0E27" w:rsidRPr="009A0E27" w:rsidRDefault="009A0E27" w:rsidP="009A0E27">
      <w:pPr>
        <w:pStyle w:val="Notedebasdepage"/>
        <w:jc w:val="both"/>
        <w:rPr>
          <w:lang w:val="fr-FR"/>
        </w:rPr>
      </w:pPr>
      <w:r w:rsidRPr="009A0E27">
        <w:rPr>
          <w:rStyle w:val="Appelnotedebasdep"/>
        </w:rPr>
        <w:footnoteRef/>
      </w:r>
      <w:r w:rsidRPr="009A0E27">
        <w:t xml:space="preserve"> La Cour résume comme suit les augmentations attaquées : « </w:t>
      </w:r>
      <w:r w:rsidRPr="009A0E27">
        <w:rPr>
          <w:i/>
          <w:iCs/>
        </w:rPr>
        <w:t>Les dispositions attaquées augmentent les droits de mise au rôle dans les procédures devant toutes les juridictions judiciaires, respectivement de 30, 31 ou 40 euros à 50 euros (une augmentation de 25 à 66,6 %) pour les justices de paix et les tribunaux de police, de 30, 60 ou 100 euros à 165 euros (une augmentation de 65 à 450 %) pour les tribunaux de première instance et les tribunaux de l’entreprise, de 210 euros à 400 euros (une augmentation de 90,5 %) pour les cours d’appel et de 375 euros à 650 euros (une augmentation de 73,3 %) pour la Cour de cassation</w:t>
      </w:r>
      <w:r w:rsidRPr="009A0E27">
        <w:t>. »</w:t>
      </w:r>
    </w:p>
  </w:footnote>
  <w:footnote w:id="5">
    <w:p w14:paraId="58FF81E5" w14:textId="6B249396" w:rsidR="0035533D" w:rsidRPr="0035533D" w:rsidRDefault="0035533D" w:rsidP="00A5786A">
      <w:pPr>
        <w:pStyle w:val="Notedebasdepage"/>
        <w:jc w:val="both"/>
        <w:rPr>
          <w:lang w:val="fr-FR"/>
        </w:rPr>
      </w:pPr>
      <w:r>
        <w:rPr>
          <w:rStyle w:val="Appelnotedebasdep"/>
        </w:rPr>
        <w:footnoteRef/>
      </w:r>
      <w:r>
        <w:t xml:space="preserve"> </w:t>
      </w:r>
      <w:r w:rsidR="00A5786A">
        <w:t xml:space="preserve">Lorsque toutes les observations sont classées par ordre de grandeur croissante, le revenu médian est la valeur se trouvant au milieu. Par définition, 50% des observations sont inférieures à la valeur moyenne et 50% supérieures. Le revenu médian est beaucoup moins influencé par les extrêmes dans les réponses que le revenu moyen. Source : </w:t>
      </w:r>
      <w:r w:rsidR="00A5786A" w:rsidRPr="00A5786A">
        <w:t>https://www.luttepauvrete.be/des-faits-et-des-chiffres/des-faits-et-des-chiffres-definition-pcm/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316E3"/>
    <w:multiLevelType w:val="hybridMultilevel"/>
    <w:tmpl w:val="35824A9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00E"/>
    <w:rsid w:val="000071AA"/>
    <w:rsid w:val="000177B4"/>
    <w:rsid w:val="0002044D"/>
    <w:rsid w:val="000249E2"/>
    <w:rsid w:val="00032874"/>
    <w:rsid w:val="00034408"/>
    <w:rsid w:val="00042342"/>
    <w:rsid w:val="000443F3"/>
    <w:rsid w:val="00045170"/>
    <w:rsid w:val="00050B24"/>
    <w:rsid w:val="00050F59"/>
    <w:rsid w:val="00052827"/>
    <w:rsid w:val="000549CC"/>
    <w:rsid w:val="00065097"/>
    <w:rsid w:val="00066085"/>
    <w:rsid w:val="00070949"/>
    <w:rsid w:val="00071A4C"/>
    <w:rsid w:val="00071AA4"/>
    <w:rsid w:val="00076E1F"/>
    <w:rsid w:val="00081C5A"/>
    <w:rsid w:val="00082367"/>
    <w:rsid w:val="00082390"/>
    <w:rsid w:val="00084A75"/>
    <w:rsid w:val="00084D48"/>
    <w:rsid w:val="00086A63"/>
    <w:rsid w:val="000908AD"/>
    <w:rsid w:val="00094B2F"/>
    <w:rsid w:val="00095074"/>
    <w:rsid w:val="00096992"/>
    <w:rsid w:val="000A0A86"/>
    <w:rsid w:val="000A23B1"/>
    <w:rsid w:val="000B1811"/>
    <w:rsid w:val="000B2E6B"/>
    <w:rsid w:val="000B3364"/>
    <w:rsid w:val="000B615B"/>
    <w:rsid w:val="000B7196"/>
    <w:rsid w:val="000B7E19"/>
    <w:rsid w:val="000C0810"/>
    <w:rsid w:val="000C5C82"/>
    <w:rsid w:val="000C6428"/>
    <w:rsid w:val="000C7A29"/>
    <w:rsid w:val="000D1260"/>
    <w:rsid w:val="000D1A88"/>
    <w:rsid w:val="000D38B2"/>
    <w:rsid w:val="000D3CEF"/>
    <w:rsid w:val="000D697F"/>
    <w:rsid w:val="000D6E95"/>
    <w:rsid w:val="000E0349"/>
    <w:rsid w:val="000E1B34"/>
    <w:rsid w:val="000E2849"/>
    <w:rsid w:val="000E5372"/>
    <w:rsid w:val="000E5969"/>
    <w:rsid w:val="000F29A4"/>
    <w:rsid w:val="000F3419"/>
    <w:rsid w:val="000F7065"/>
    <w:rsid w:val="00102B1C"/>
    <w:rsid w:val="00105B71"/>
    <w:rsid w:val="00105E71"/>
    <w:rsid w:val="0011309A"/>
    <w:rsid w:val="00113BD1"/>
    <w:rsid w:val="00114927"/>
    <w:rsid w:val="00122921"/>
    <w:rsid w:val="00125D6C"/>
    <w:rsid w:val="0012685C"/>
    <w:rsid w:val="00127DF5"/>
    <w:rsid w:val="00132BEC"/>
    <w:rsid w:val="00133495"/>
    <w:rsid w:val="001363EA"/>
    <w:rsid w:val="001417B2"/>
    <w:rsid w:val="00143E15"/>
    <w:rsid w:val="00147486"/>
    <w:rsid w:val="00150021"/>
    <w:rsid w:val="0015105A"/>
    <w:rsid w:val="001547C5"/>
    <w:rsid w:val="00161268"/>
    <w:rsid w:val="00164DC0"/>
    <w:rsid w:val="0016709F"/>
    <w:rsid w:val="001717DA"/>
    <w:rsid w:val="00172A3E"/>
    <w:rsid w:val="00172CE4"/>
    <w:rsid w:val="0017378E"/>
    <w:rsid w:val="00174C7A"/>
    <w:rsid w:val="00175E24"/>
    <w:rsid w:val="001817A9"/>
    <w:rsid w:val="00183902"/>
    <w:rsid w:val="00183E1B"/>
    <w:rsid w:val="001872DF"/>
    <w:rsid w:val="001903E5"/>
    <w:rsid w:val="00190DEF"/>
    <w:rsid w:val="00192543"/>
    <w:rsid w:val="001A097F"/>
    <w:rsid w:val="001A0CA8"/>
    <w:rsid w:val="001A4A1E"/>
    <w:rsid w:val="001A4D3E"/>
    <w:rsid w:val="001A6BA6"/>
    <w:rsid w:val="001A6F87"/>
    <w:rsid w:val="001B2126"/>
    <w:rsid w:val="001B2266"/>
    <w:rsid w:val="001B3520"/>
    <w:rsid w:val="001B39DB"/>
    <w:rsid w:val="001B4328"/>
    <w:rsid w:val="001B4DB9"/>
    <w:rsid w:val="001B50D6"/>
    <w:rsid w:val="001B607F"/>
    <w:rsid w:val="001B77AC"/>
    <w:rsid w:val="001C13F7"/>
    <w:rsid w:val="001C38D9"/>
    <w:rsid w:val="001C5354"/>
    <w:rsid w:val="001C62FC"/>
    <w:rsid w:val="001D0443"/>
    <w:rsid w:val="001D1418"/>
    <w:rsid w:val="001D1E8E"/>
    <w:rsid w:val="001D39FD"/>
    <w:rsid w:val="001D730C"/>
    <w:rsid w:val="001E0B01"/>
    <w:rsid w:val="001E590C"/>
    <w:rsid w:val="001E6128"/>
    <w:rsid w:val="001F1266"/>
    <w:rsid w:val="001F1A20"/>
    <w:rsid w:val="001F783A"/>
    <w:rsid w:val="0020039F"/>
    <w:rsid w:val="00201E64"/>
    <w:rsid w:val="00203FE6"/>
    <w:rsid w:val="00204433"/>
    <w:rsid w:val="00204D97"/>
    <w:rsid w:val="00205228"/>
    <w:rsid w:val="00211D10"/>
    <w:rsid w:val="00212FCE"/>
    <w:rsid w:val="00216FF3"/>
    <w:rsid w:val="0021778F"/>
    <w:rsid w:val="002239B0"/>
    <w:rsid w:val="00224686"/>
    <w:rsid w:val="002251D5"/>
    <w:rsid w:val="0022578E"/>
    <w:rsid w:val="002257CD"/>
    <w:rsid w:val="00226447"/>
    <w:rsid w:val="00230093"/>
    <w:rsid w:val="0023073C"/>
    <w:rsid w:val="00231E6D"/>
    <w:rsid w:val="00234D09"/>
    <w:rsid w:val="00236D21"/>
    <w:rsid w:val="002412A0"/>
    <w:rsid w:val="0024223E"/>
    <w:rsid w:val="002469E6"/>
    <w:rsid w:val="00246B9C"/>
    <w:rsid w:val="00247573"/>
    <w:rsid w:val="00254137"/>
    <w:rsid w:val="00254D0D"/>
    <w:rsid w:val="002609E6"/>
    <w:rsid w:val="0026204F"/>
    <w:rsid w:val="0026558E"/>
    <w:rsid w:val="00266EB6"/>
    <w:rsid w:val="0027533B"/>
    <w:rsid w:val="0027569F"/>
    <w:rsid w:val="002766D6"/>
    <w:rsid w:val="00276BD9"/>
    <w:rsid w:val="00280E27"/>
    <w:rsid w:val="002816D1"/>
    <w:rsid w:val="0028197B"/>
    <w:rsid w:val="00281AFA"/>
    <w:rsid w:val="0028305A"/>
    <w:rsid w:val="002830FC"/>
    <w:rsid w:val="002847CE"/>
    <w:rsid w:val="00285B2D"/>
    <w:rsid w:val="002910C7"/>
    <w:rsid w:val="002970AA"/>
    <w:rsid w:val="00297201"/>
    <w:rsid w:val="0029747E"/>
    <w:rsid w:val="002A0923"/>
    <w:rsid w:val="002A3481"/>
    <w:rsid w:val="002A37CE"/>
    <w:rsid w:val="002A6D82"/>
    <w:rsid w:val="002B2A91"/>
    <w:rsid w:val="002B3494"/>
    <w:rsid w:val="002C162E"/>
    <w:rsid w:val="002C2BC7"/>
    <w:rsid w:val="002C51AD"/>
    <w:rsid w:val="002C530B"/>
    <w:rsid w:val="002D03DB"/>
    <w:rsid w:val="002D7274"/>
    <w:rsid w:val="002E0582"/>
    <w:rsid w:val="002E3242"/>
    <w:rsid w:val="002E6956"/>
    <w:rsid w:val="002E6960"/>
    <w:rsid w:val="002F17E7"/>
    <w:rsid w:val="002F507D"/>
    <w:rsid w:val="002F5B78"/>
    <w:rsid w:val="002F7E4A"/>
    <w:rsid w:val="0030166D"/>
    <w:rsid w:val="00302A28"/>
    <w:rsid w:val="00302E6D"/>
    <w:rsid w:val="00302EC6"/>
    <w:rsid w:val="003039F8"/>
    <w:rsid w:val="00303FFB"/>
    <w:rsid w:val="003042F5"/>
    <w:rsid w:val="003052E1"/>
    <w:rsid w:val="0030571F"/>
    <w:rsid w:val="003064CF"/>
    <w:rsid w:val="003067FF"/>
    <w:rsid w:val="003074A2"/>
    <w:rsid w:val="00307DF1"/>
    <w:rsid w:val="00311FA9"/>
    <w:rsid w:val="00312C66"/>
    <w:rsid w:val="00313032"/>
    <w:rsid w:val="00315E4F"/>
    <w:rsid w:val="00315F7B"/>
    <w:rsid w:val="00316131"/>
    <w:rsid w:val="0031771B"/>
    <w:rsid w:val="00321618"/>
    <w:rsid w:val="003218AC"/>
    <w:rsid w:val="00321C6C"/>
    <w:rsid w:val="00322FF0"/>
    <w:rsid w:val="00325D26"/>
    <w:rsid w:val="00335ACA"/>
    <w:rsid w:val="00335C16"/>
    <w:rsid w:val="003369A1"/>
    <w:rsid w:val="00337E70"/>
    <w:rsid w:val="0034000E"/>
    <w:rsid w:val="003402F2"/>
    <w:rsid w:val="003425E7"/>
    <w:rsid w:val="003432A8"/>
    <w:rsid w:val="003446CC"/>
    <w:rsid w:val="00345199"/>
    <w:rsid w:val="00353706"/>
    <w:rsid w:val="00353713"/>
    <w:rsid w:val="0035533D"/>
    <w:rsid w:val="00360332"/>
    <w:rsid w:val="00360817"/>
    <w:rsid w:val="00360CB9"/>
    <w:rsid w:val="00361AFA"/>
    <w:rsid w:val="00361D62"/>
    <w:rsid w:val="00362221"/>
    <w:rsid w:val="003626D5"/>
    <w:rsid w:val="0036473E"/>
    <w:rsid w:val="00366300"/>
    <w:rsid w:val="00370456"/>
    <w:rsid w:val="003717FE"/>
    <w:rsid w:val="0037455D"/>
    <w:rsid w:val="00381815"/>
    <w:rsid w:val="00381D39"/>
    <w:rsid w:val="00384B56"/>
    <w:rsid w:val="00384B88"/>
    <w:rsid w:val="00390F2B"/>
    <w:rsid w:val="00391B81"/>
    <w:rsid w:val="00393C5C"/>
    <w:rsid w:val="00393E2D"/>
    <w:rsid w:val="003951AC"/>
    <w:rsid w:val="00397230"/>
    <w:rsid w:val="003A2697"/>
    <w:rsid w:val="003A54D6"/>
    <w:rsid w:val="003A58B3"/>
    <w:rsid w:val="003B016C"/>
    <w:rsid w:val="003B2E3D"/>
    <w:rsid w:val="003B4C27"/>
    <w:rsid w:val="003B4E52"/>
    <w:rsid w:val="003C06D4"/>
    <w:rsid w:val="003C275C"/>
    <w:rsid w:val="003C2F85"/>
    <w:rsid w:val="003C487C"/>
    <w:rsid w:val="003C5B75"/>
    <w:rsid w:val="003D31BE"/>
    <w:rsid w:val="003D332C"/>
    <w:rsid w:val="003D3699"/>
    <w:rsid w:val="003D50D1"/>
    <w:rsid w:val="003D6D12"/>
    <w:rsid w:val="003E34E4"/>
    <w:rsid w:val="003E4F9C"/>
    <w:rsid w:val="003E54C7"/>
    <w:rsid w:val="003E66AF"/>
    <w:rsid w:val="003F1C8E"/>
    <w:rsid w:val="003F54FC"/>
    <w:rsid w:val="003F660F"/>
    <w:rsid w:val="00403456"/>
    <w:rsid w:val="00403738"/>
    <w:rsid w:val="00403B77"/>
    <w:rsid w:val="00404BE1"/>
    <w:rsid w:val="00406BD4"/>
    <w:rsid w:val="00407A59"/>
    <w:rsid w:val="004146B1"/>
    <w:rsid w:val="00415895"/>
    <w:rsid w:val="004208FE"/>
    <w:rsid w:val="00426AF3"/>
    <w:rsid w:val="00427E82"/>
    <w:rsid w:val="0043058A"/>
    <w:rsid w:val="004404C0"/>
    <w:rsid w:val="00440D6E"/>
    <w:rsid w:val="0044156F"/>
    <w:rsid w:val="004468BA"/>
    <w:rsid w:val="00446F47"/>
    <w:rsid w:val="004474DE"/>
    <w:rsid w:val="0045176B"/>
    <w:rsid w:val="004517E1"/>
    <w:rsid w:val="0045314A"/>
    <w:rsid w:val="00453D2F"/>
    <w:rsid w:val="00454077"/>
    <w:rsid w:val="0045409D"/>
    <w:rsid w:val="00457543"/>
    <w:rsid w:val="00460FB5"/>
    <w:rsid w:val="00462461"/>
    <w:rsid w:val="004627A5"/>
    <w:rsid w:val="00463040"/>
    <w:rsid w:val="00470357"/>
    <w:rsid w:val="00470D14"/>
    <w:rsid w:val="00472158"/>
    <w:rsid w:val="004748DA"/>
    <w:rsid w:val="00474C89"/>
    <w:rsid w:val="0047515B"/>
    <w:rsid w:val="004778B1"/>
    <w:rsid w:val="004856DE"/>
    <w:rsid w:val="004860CD"/>
    <w:rsid w:val="00492721"/>
    <w:rsid w:val="00492F2F"/>
    <w:rsid w:val="004933B3"/>
    <w:rsid w:val="00495949"/>
    <w:rsid w:val="004965DC"/>
    <w:rsid w:val="0049754C"/>
    <w:rsid w:val="004A00FE"/>
    <w:rsid w:val="004A07A9"/>
    <w:rsid w:val="004A07E6"/>
    <w:rsid w:val="004A4776"/>
    <w:rsid w:val="004A49FC"/>
    <w:rsid w:val="004A51D1"/>
    <w:rsid w:val="004B320F"/>
    <w:rsid w:val="004B5B59"/>
    <w:rsid w:val="004C14FA"/>
    <w:rsid w:val="004C16A2"/>
    <w:rsid w:val="004C1809"/>
    <w:rsid w:val="004C7700"/>
    <w:rsid w:val="004D2FC4"/>
    <w:rsid w:val="004D305B"/>
    <w:rsid w:val="004E333D"/>
    <w:rsid w:val="004E6EEE"/>
    <w:rsid w:val="004E7193"/>
    <w:rsid w:val="00500717"/>
    <w:rsid w:val="00503042"/>
    <w:rsid w:val="005032C0"/>
    <w:rsid w:val="00507121"/>
    <w:rsid w:val="00507C0C"/>
    <w:rsid w:val="00507F8C"/>
    <w:rsid w:val="00510FBC"/>
    <w:rsid w:val="00512D4C"/>
    <w:rsid w:val="005132B9"/>
    <w:rsid w:val="00515AC2"/>
    <w:rsid w:val="0052233F"/>
    <w:rsid w:val="00522EF8"/>
    <w:rsid w:val="00524847"/>
    <w:rsid w:val="00527D76"/>
    <w:rsid w:val="00533F85"/>
    <w:rsid w:val="00536167"/>
    <w:rsid w:val="00536D8A"/>
    <w:rsid w:val="005418AE"/>
    <w:rsid w:val="00542143"/>
    <w:rsid w:val="0054586A"/>
    <w:rsid w:val="0055236D"/>
    <w:rsid w:val="00552825"/>
    <w:rsid w:val="00556A43"/>
    <w:rsid w:val="00564412"/>
    <w:rsid w:val="00567365"/>
    <w:rsid w:val="00567FDC"/>
    <w:rsid w:val="0057006F"/>
    <w:rsid w:val="005708C5"/>
    <w:rsid w:val="00575950"/>
    <w:rsid w:val="00580308"/>
    <w:rsid w:val="00582D5E"/>
    <w:rsid w:val="005842BD"/>
    <w:rsid w:val="00585115"/>
    <w:rsid w:val="00586748"/>
    <w:rsid w:val="00586B64"/>
    <w:rsid w:val="0059215B"/>
    <w:rsid w:val="00592A15"/>
    <w:rsid w:val="005A76B6"/>
    <w:rsid w:val="005A7BAD"/>
    <w:rsid w:val="005B0D94"/>
    <w:rsid w:val="005B52B3"/>
    <w:rsid w:val="005B5E25"/>
    <w:rsid w:val="005C15A8"/>
    <w:rsid w:val="005C2F49"/>
    <w:rsid w:val="005C34F5"/>
    <w:rsid w:val="005C3AE4"/>
    <w:rsid w:val="005C4B5E"/>
    <w:rsid w:val="005C5E6E"/>
    <w:rsid w:val="005C6B1F"/>
    <w:rsid w:val="005D0E84"/>
    <w:rsid w:val="005D2D65"/>
    <w:rsid w:val="005D3190"/>
    <w:rsid w:val="005D5AF3"/>
    <w:rsid w:val="005D6BED"/>
    <w:rsid w:val="005D71D7"/>
    <w:rsid w:val="005D7964"/>
    <w:rsid w:val="005E2C71"/>
    <w:rsid w:val="005E4AF9"/>
    <w:rsid w:val="005E5527"/>
    <w:rsid w:val="005E5796"/>
    <w:rsid w:val="005E6470"/>
    <w:rsid w:val="005E6672"/>
    <w:rsid w:val="005E703B"/>
    <w:rsid w:val="005F4D2C"/>
    <w:rsid w:val="005F72B6"/>
    <w:rsid w:val="00604F07"/>
    <w:rsid w:val="00605272"/>
    <w:rsid w:val="00606D1E"/>
    <w:rsid w:val="00611959"/>
    <w:rsid w:val="00613790"/>
    <w:rsid w:val="00613BD4"/>
    <w:rsid w:val="00614981"/>
    <w:rsid w:val="00623426"/>
    <w:rsid w:val="00623AAA"/>
    <w:rsid w:val="00624AAB"/>
    <w:rsid w:val="00625F65"/>
    <w:rsid w:val="00630149"/>
    <w:rsid w:val="00635EF9"/>
    <w:rsid w:val="0063615B"/>
    <w:rsid w:val="00640F76"/>
    <w:rsid w:val="006446AD"/>
    <w:rsid w:val="0064696B"/>
    <w:rsid w:val="00656E4F"/>
    <w:rsid w:val="00657AC4"/>
    <w:rsid w:val="00663D9A"/>
    <w:rsid w:val="00665135"/>
    <w:rsid w:val="00667492"/>
    <w:rsid w:val="006702E8"/>
    <w:rsid w:val="006744FA"/>
    <w:rsid w:val="00676314"/>
    <w:rsid w:val="006800F6"/>
    <w:rsid w:val="006805D9"/>
    <w:rsid w:val="00680B11"/>
    <w:rsid w:val="00682254"/>
    <w:rsid w:val="006858AD"/>
    <w:rsid w:val="00685CD1"/>
    <w:rsid w:val="0068606E"/>
    <w:rsid w:val="006929C5"/>
    <w:rsid w:val="00693300"/>
    <w:rsid w:val="006A3B46"/>
    <w:rsid w:val="006A3BE9"/>
    <w:rsid w:val="006A3FFE"/>
    <w:rsid w:val="006A616A"/>
    <w:rsid w:val="006A628E"/>
    <w:rsid w:val="006B1A56"/>
    <w:rsid w:val="006B4B55"/>
    <w:rsid w:val="006D179E"/>
    <w:rsid w:val="006D38F1"/>
    <w:rsid w:val="006D4711"/>
    <w:rsid w:val="006D649C"/>
    <w:rsid w:val="006E071F"/>
    <w:rsid w:val="006E23DF"/>
    <w:rsid w:val="006E367C"/>
    <w:rsid w:val="006E5EE0"/>
    <w:rsid w:val="006E6362"/>
    <w:rsid w:val="006F28AD"/>
    <w:rsid w:val="006F5AFA"/>
    <w:rsid w:val="007035CA"/>
    <w:rsid w:val="0070438C"/>
    <w:rsid w:val="00707502"/>
    <w:rsid w:val="00713875"/>
    <w:rsid w:val="00717646"/>
    <w:rsid w:val="00717B3F"/>
    <w:rsid w:val="00721499"/>
    <w:rsid w:val="0072161D"/>
    <w:rsid w:val="007221F2"/>
    <w:rsid w:val="0073483C"/>
    <w:rsid w:val="00735590"/>
    <w:rsid w:val="007378C8"/>
    <w:rsid w:val="007502B8"/>
    <w:rsid w:val="007525D5"/>
    <w:rsid w:val="00752931"/>
    <w:rsid w:val="00752D10"/>
    <w:rsid w:val="00753A6B"/>
    <w:rsid w:val="00755FD4"/>
    <w:rsid w:val="0076089C"/>
    <w:rsid w:val="00760AEC"/>
    <w:rsid w:val="00762AFA"/>
    <w:rsid w:val="00765E0D"/>
    <w:rsid w:val="007703E1"/>
    <w:rsid w:val="00776764"/>
    <w:rsid w:val="007775D4"/>
    <w:rsid w:val="0078178D"/>
    <w:rsid w:val="0078239A"/>
    <w:rsid w:val="007825A9"/>
    <w:rsid w:val="007841F3"/>
    <w:rsid w:val="00787781"/>
    <w:rsid w:val="007877FD"/>
    <w:rsid w:val="00791BBF"/>
    <w:rsid w:val="00792BB2"/>
    <w:rsid w:val="00794927"/>
    <w:rsid w:val="00796DFE"/>
    <w:rsid w:val="007A0F1A"/>
    <w:rsid w:val="007B0F3C"/>
    <w:rsid w:val="007B1804"/>
    <w:rsid w:val="007B282F"/>
    <w:rsid w:val="007B31BE"/>
    <w:rsid w:val="007B5298"/>
    <w:rsid w:val="007B5B91"/>
    <w:rsid w:val="007B7E1F"/>
    <w:rsid w:val="007C355D"/>
    <w:rsid w:val="007C7EBB"/>
    <w:rsid w:val="007D13E4"/>
    <w:rsid w:val="007D4392"/>
    <w:rsid w:val="007E04A1"/>
    <w:rsid w:val="007E58C8"/>
    <w:rsid w:val="007E5D75"/>
    <w:rsid w:val="007F3FBC"/>
    <w:rsid w:val="007F5C09"/>
    <w:rsid w:val="007F6948"/>
    <w:rsid w:val="007F6D20"/>
    <w:rsid w:val="0080007A"/>
    <w:rsid w:val="008009A5"/>
    <w:rsid w:val="00801CAE"/>
    <w:rsid w:val="00801E2C"/>
    <w:rsid w:val="00802B36"/>
    <w:rsid w:val="00804CBD"/>
    <w:rsid w:val="0080661C"/>
    <w:rsid w:val="00807D3E"/>
    <w:rsid w:val="008108F2"/>
    <w:rsid w:val="008127EE"/>
    <w:rsid w:val="00815B2F"/>
    <w:rsid w:val="00816A1C"/>
    <w:rsid w:val="00816FDB"/>
    <w:rsid w:val="00817906"/>
    <w:rsid w:val="00817D0A"/>
    <w:rsid w:val="00821249"/>
    <w:rsid w:val="00826B6C"/>
    <w:rsid w:val="00827EA9"/>
    <w:rsid w:val="00831945"/>
    <w:rsid w:val="00832953"/>
    <w:rsid w:val="0083669D"/>
    <w:rsid w:val="00841F2D"/>
    <w:rsid w:val="00842D33"/>
    <w:rsid w:val="008439FC"/>
    <w:rsid w:val="00844FCC"/>
    <w:rsid w:val="008464C0"/>
    <w:rsid w:val="0084678F"/>
    <w:rsid w:val="0084753A"/>
    <w:rsid w:val="008501C2"/>
    <w:rsid w:val="0085275C"/>
    <w:rsid w:val="00852A44"/>
    <w:rsid w:val="00864F9C"/>
    <w:rsid w:val="00865ED2"/>
    <w:rsid w:val="0087236C"/>
    <w:rsid w:val="00872765"/>
    <w:rsid w:val="00874F67"/>
    <w:rsid w:val="00875746"/>
    <w:rsid w:val="00875AF5"/>
    <w:rsid w:val="00875D83"/>
    <w:rsid w:val="0087645A"/>
    <w:rsid w:val="00876ACA"/>
    <w:rsid w:val="008778C3"/>
    <w:rsid w:val="00877DCA"/>
    <w:rsid w:val="008810E0"/>
    <w:rsid w:val="008907AE"/>
    <w:rsid w:val="00891536"/>
    <w:rsid w:val="00892DF6"/>
    <w:rsid w:val="008935E1"/>
    <w:rsid w:val="00893B61"/>
    <w:rsid w:val="0089424E"/>
    <w:rsid w:val="00894E5F"/>
    <w:rsid w:val="008A6A96"/>
    <w:rsid w:val="008A7839"/>
    <w:rsid w:val="008B185A"/>
    <w:rsid w:val="008B541B"/>
    <w:rsid w:val="008B5D82"/>
    <w:rsid w:val="008B5FF7"/>
    <w:rsid w:val="008B6E35"/>
    <w:rsid w:val="008C0D6F"/>
    <w:rsid w:val="008C1676"/>
    <w:rsid w:val="008C3FF7"/>
    <w:rsid w:val="008D065D"/>
    <w:rsid w:val="008D0D4A"/>
    <w:rsid w:val="008D6A1C"/>
    <w:rsid w:val="008D6BDB"/>
    <w:rsid w:val="008E08C0"/>
    <w:rsid w:val="008E124E"/>
    <w:rsid w:val="008E1B82"/>
    <w:rsid w:val="008E5031"/>
    <w:rsid w:val="008E5099"/>
    <w:rsid w:val="008E7C94"/>
    <w:rsid w:val="008E7D7F"/>
    <w:rsid w:val="008F18F0"/>
    <w:rsid w:val="008F4123"/>
    <w:rsid w:val="008F5C0C"/>
    <w:rsid w:val="008F60F3"/>
    <w:rsid w:val="008F67FA"/>
    <w:rsid w:val="008F6E03"/>
    <w:rsid w:val="008F7EB2"/>
    <w:rsid w:val="008F7F8F"/>
    <w:rsid w:val="00900770"/>
    <w:rsid w:val="009022B1"/>
    <w:rsid w:val="0090638A"/>
    <w:rsid w:val="00907936"/>
    <w:rsid w:val="009079E6"/>
    <w:rsid w:val="009108D1"/>
    <w:rsid w:val="0091575F"/>
    <w:rsid w:val="009163AF"/>
    <w:rsid w:val="00921E8B"/>
    <w:rsid w:val="00922028"/>
    <w:rsid w:val="0092459B"/>
    <w:rsid w:val="00924BDC"/>
    <w:rsid w:val="009259CF"/>
    <w:rsid w:val="0092777A"/>
    <w:rsid w:val="00927EAB"/>
    <w:rsid w:val="00935A3A"/>
    <w:rsid w:val="00935C79"/>
    <w:rsid w:val="00943565"/>
    <w:rsid w:val="00944470"/>
    <w:rsid w:val="009460EE"/>
    <w:rsid w:val="00946728"/>
    <w:rsid w:val="00952129"/>
    <w:rsid w:val="00953342"/>
    <w:rsid w:val="009561D4"/>
    <w:rsid w:val="0095748A"/>
    <w:rsid w:val="0096214D"/>
    <w:rsid w:val="009668AC"/>
    <w:rsid w:val="0096753D"/>
    <w:rsid w:val="00967D7A"/>
    <w:rsid w:val="00970918"/>
    <w:rsid w:val="00972453"/>
    <w:rsid w:val="00974C80"/>
    <w:rsid w:val="00983EDA"/>
    <w:rsid w:val="00986588"/>
    <w:rsid w:val="00990046"/>
    <w:rsid w:val="0099186D"/>
    <w:rsid w:val="0099270E"/>
    <w:rsid w:val="009965A5"/>
    <w:rsid w:val="009A0E27"/>
    <w:rsid w:val="009A126D"/>
    <w:rsid w:val="009A648F"/>
    <w:rsid w:val="009A79CE"/>
    <w:rsid w:val="009C3A97"/>
    <w:rsid w:val="009C6FDA"/>
    <w:rsid w:val="009D38C7"/>
    <w:rsid w:val="009D3B5C"/>
    <w:rsid w:val="009D6091"/>
    <w:rsid w:val="009D7B9F"/>
    <w:rsid w:val="009E1078"/>
    <w:rsid w:val="009E132E"/>
    <w:rsid w:val="009E3819"/>
    <w:rsid w:val="009E526F"/>
    <w:rsid w:val="009F12FB"/>
    <w:rsid w:val="009F2094"/>
    <w:rsid w:val="009F2CF2"/>
    <w:rsid w:val="009F3A1A"/>
    <w:rsid w:val="009F4502"/>
    <w:rsid w:val="009F509D"/>
    <w:rsid w:val="009F62DB"/>
    <w:rsid w:val="009F7AEA"/>
    <w:rsid w:val="00A03781"/>
    <w:rsid w:val="00A04EFA"/>
    <w:rsid w:val="00A0598A"/>
    <w:rsid w:val="00A05F9B"/>
    <w:rsid w:val="00A0779B"/>
    <w:rsid w:val="00A14118"/>
    <w:rsid w:val="00A16B82"/>
    <w:rsid w:val="00A22458"/>
    <w:rsid w:val="00A25232"/>
    <w:rsid w:val="00A276B7"/>
    <w:rsid w:val="00A325D6"/>
    <w:rsid w:val="00A350D2"/>
    <w:rsid w:val="00A37F28"/>
    <w:rsid w:val="00A4069A"/>
    <w:rsid w:val="00A411B4"/>
    <w:rsid w:val="00A42880"/>
    <w:rsid w:val="00A50CDE"/>
    <w:rsid w:val="00A51A39"/>
    <w:rsid w:val="00A5434D"/>
    <w:rsid w:val="00A5786A"/>
    <w:rsid w:val="00A57C28"/>
    <w:rsid w:val="00A60E77"/>
    <w:rsid w:val="00A61393"/>
    <w:rsid w:val="00A634FC"/>
    <w:rsid w:val="00A71331"/>
    <w:rsid w:val="00A71EF3"/>
    <w:rsid w:val="00A73679"/>
    <w:rsid w:val="00A73A16"/>
    <w:rsid w:val="00A7557A"/>
    <w:rsid w:val="00A7639C"/>
    <w:rsid w:val="00A80BD9"/>
    <w:rsid w:val="00A8177C"/>
    <w:rsid w:val="00A82BE3"/>
    <w:rsid w:val="00A854CA"/>
    <w:rsid w:val="00A9300F"/>
    <w:rsid w:val="00A9303B"/>
    <w:rsid w:val="00A96BC5"/>
    <w:rsid w:val="00AA00CA"/>
    <w:rsid w:val="00AA0A7A"/>
    <w:rsid w:val="00AA2ED4"/>
    <w:rsid w:val="00AA6E07"/>
    <w:rsid w:val="00AA797D"/>
    <w:rsid w:val="00AB2760"/>
    <w:rsid w:val="00AB2AB4"/>
    <w:rsid w:val="00AC589C"/>
    <w:rsid w:val="00AC7806"/>
    <w:rsid w:val="00AD1990"/>
    <w:rsid w:val="00AD33F9"/>
    <w:rsid w:val="00AD3872"/>
    <w:rsid w:val="00AD670D"/>
    <w:rsid w:val="00AD68FD"/>
    <w:rsid w:val="00AE0FD1"/>
    <w:rsid w:val="00AE1F20"/>
    <w:rsid w:val="00AE2B1F"/>
    <w:rsid w:val="00AE4DB2"/>
    <w:rsid w:val="00AE66A7"/>
    <w:rsid w:val="00AE7111"/>
    <w:rsid w:val="00AE7A18"/>
    <w:rsid w:val="00AF43A2"/>
    <w:rsid w:val="00AF69E9"/>
    <w:rsid w:val="00B0617F"/>
    <w:rsid w:val="00B102D1"/>
    <w:rsid w:val="00B105A5"/>
    <w:rsid w:val="00B10D04"/>
    <w:rsid w:val="00B133A5"/>
    <w:rsid w:val="00B13B66"/>
    <w:rsid w:val="00B145DE"/>
    <w:rsid w:val="00B154B6"/>
    <w:rsid w:val="00B24289"/>
    <w:rsid w:val="00B249F3"/>
    <w:rsid w:val="00B25F48"/>
    <w:rsid w:val="00B26BEB"/>
    <w:rsid w:val="00B30D79"/>
    <w:rsid w:val="00B310A4"/>
    <w:rsid w:val="00B330E3"/>
    <w:rsid w:val="00B35996"/>
    <w:rsid w:val="00B43140"/>
    <w:rsid w:val="00B44CF9"/>
    <w:rsid w:val="00B458E1"/>
    <w:rsid w:val="00B4657B"/>
    <w:rsid w:val="00B46F77"/>
    <w:rsid w:val="00B50004"/>
    <w:rsid w:val="00B5027E"/>
    <w:rsid w:val="00B55858"/>
    <w:rsid w:val="00B562DE"/>
    <w:rsid w:val="00B5743F"/>
    <w:rsid w:val="00B57579"/>
    <w:rsid w:val="00B6090E"/>
    <w:rsid w:val="00B60E16"/>
    <w:rsid w:val="00B660E8"/>
    <w:rsid w:val="00B67EB8"/>
    <w:rsid w:val="00B717CE"/>
    <w:rsid w:val="00B71C4A"/>
    <w:rsid w:val="00B729A3"/>
    <w:rsid w:val="00B74B17"/>
    <w:rsid w:val="00B74B8A"/>
    <w:rsid w:val="00B81F63"/>
    <w:rsid w:val="00B82702"/>
    <w:rsid w:val="00B82FE9"/>
    <w:rsid w:val="00B866D6"/>
    <w:rsid w:val="00B90B4E"/>
    <w:rsid w:val="00B928D6"/>
    <w:rsid w:val="00B948B3"/>
    <w:rsid w:val="00B97457"/>
    <w:rsid w:val="00B975E8"/>
    <w:rsid w:val="00BA31BF"/>
    <w:rsid w:val="00BB01C4"/>
    <w:rsid w:val="00BB06A8"/>
    <w:rsid w:val="00BB240D"/>
    <w:rsid w:val="00BB2D60"/>
    <w:rsid w:val="00BB4310"/>
    <w:rsid w:val="00BB6D42"/>
    <w:rsid w:val="00BB7808"/>
    <w:rsid w:val="00BC09A3"/>
    <w:rsid w:val="00BC1954"/>
    <w:rsid w:val="00BC4604"/>
    <w:rsid w:val="00BC55AC"/>
    <w:rsid w:val="00BC5BE9"/>
    <w:rsid w:val="00BD0E88"/>
    <w:rsid w:val="00BD28E1"/>
    <w:rsid w:val="00BD3B4E"/>
    <w:rsid w:val="00BE1926"/>
    <w:rsid w:val="00BE5543"/>
    <w:rsid w:val="00BE5F63"/>
    <w:rsid w:val="00BE61D1"/>
    <w:rsid w:val="00BE7D38"/>
    <w:rsid w:val="00BF22E1"/>
    <w:rsid w:val="00BF347C"/>
    <w:rsid w:val="00BF3839"/>
    <w:rsid w:val="00BF4869"/>
    <w:rsid w:val="00BF78F1"/>
    <w:rsid w:val="00C000F7"/>
    <w:rsid w:val="00C00108"/>
    <w:rsid w:val="00C00B64"/>
    <w:rsid w:val="00C01CA8"/>
    <w:rsid w:val="00C0299B"/>
    <w:rsid w:val="00C05590"/>
    <w:rsid w:val="00C05F41"/>
    <w:rsid w:val="00C067B0"/>
    <w:rsid w:val="00C07A7B"/>
    <w:rsid w:val="00C07BAC"/>
    <w:rsid w:val="00C07F5A"/>
    <w:rsid w:val="00C11088"/>
    <w:rsid w:val="00C129A6"/>
    <w:rsid w:val="00C14580"/>
    <w:rsid w:val="00C14926"/>
    <w:rsid w:val="00C20258"/>
    <w:rsid w:val="00C209FB"/>
    <w:rsid w:val="00C2160D"/>
    <w:rsid w:val="00C23602"/>
    <w:rsid w:val="00C23D16"/>
    <w:rsid w:val="00C23F4C"/>
    <w:rsid w:val="00C250ED"/>
    <w:rsid w:val="00C25D80"/>
    <w:rsid w:val="00C26E87"/>
    <w:rsid w:val="00C27985"/>
    <w:rsid w:val="00C322C5"/>
    <w:rsid w:val="00C32553"/>
    <w:rsid w:val="00C3445E"/>
    <w:rsid w:val="00C40023"/>
    <w:rsid w:val="00C40A87"/>
    <w:rsid w:val="00C41D7D"/>
    <w:rsid w:val="00C4358E"/>
    <w:rsid w:val="00C44B8A"/>
    <w:rsid w:val="00C55313"/>
    <w:rsid w:val="00C55435"/>
    <w:rsid w:val="00C55958"/>
    <w:rsid w:val="00C568B3"/>
    <w:rsid w:val="00C5690B"/>
    <w:rsid w:val="00C577F8"/>
    <w:rsid w:val="00C60107"/>
    <w:rsid w:val="00C62B6C"/>
    <w:rsid w:val="00C640D8"/>
    <w:rsid w:val="00C664DF"/>
    <w:rsid w:val="00C728C2"/>
    <w:rsid w:val="00C72BA5"/>
    <w:rsid w:val="00C805DC"/>
    <w:rsid w:val="00C8103F"/>
    <w:rsid w:val="00C85518"/>
    <w:rsid w:val="00C90D67"/>
    <w:rsid w:val="00C93D67"/>
    <w:rsid w:val="00C97DFE"/>
    <w:rsid w:val="00CA532C"/>
    <w:rsid w:val="00CA5AF3"/>
    <w:rsid w:val="00CB0305"/>
    <w:rsid w:val="00CB0A30"/>
    <w:rsid w:val="00CB3785"/>
    <w:rsid w:val="00CB4A1F"/>
    <w:rsid w:val="00CB7E76"/>
    <w:rsid w:val="00CC0EEB"/>
    <w:rsid w:val="00CC27C1"/>
    <w:rsid w:val="00CC34DC"/>
    <w:rsid w:val="00CC727E"/>
    <w:rsid w:val="00CC76E0"/>
    <w:rsid w:val="00CD0907"/>
    <w:rsid w:val="00CD097B"/>
    <w:rsid w:val="00CD1690"/>
    <w:rsid w:val="00CD2A16"/>
    <w:rsid w:val="00CD33BA"/>
    <w:rsid w:val="00CD4516"/>
    <w:rsid w:val="00CD4FE3"/>
    <w:rsid w:val="00CD519D"/>
    <w:rsid w:val="00CD6D10"/>
    <w:rsid w:val="00CD7AD1"/>
    <w:rsid w:val="00CE1A7F"/>
    <w:rsid w:val="00CE276A"/>
    <w:rsid w:val="00CE30A6"/>
    <w:rsid w:val="00CE410B"/>
    <w:rsid w:val="00CE4698"/>
    <w:rsid w:val="00CE7AD3"/>
    <w:rsid w:val="00CF0E96"/>
    <w:rsid w:val="00CF131F"/>
    <w:rsid w:val="00CF67E2"/>
    <w:rsid w:val="00D00408"/>
    <w:rsid w:val="00D01770"/>
    <w:rsid w:val="00D0183D"/>
    <w:rsid w:val="00D01920"/>
    <w:rsid w:val="00D04838"/>
    <w:rsid w:val="00D04869"/>
    <w:rsid w:val="00D07255"/>
    <w:rsid w:val="00D105F8"/>
    <w:rsid w:val="00D1234A"/>
    <w:rsid w:val="00D22A8A"/>
    <w:rsid w:val="00D23609"/>
    <w:rsid w:val="00D33EE7"/>
    <w:rsid w:val="00D33FFB"/>
    <w:rsid w:val="00D34BA7"/>
    <w:rsid w:val="00D35071"/>
    <w:rsid w:val="00D3676A"/>
    <w:rsid w:val="00D36C94"/>
    <w:rsid w:val="00D45908"/>
    <w:rsid w:val="00D475C8"/>
    <w:rsid w:val="00D5384C"/>
    <w:rsid w:val="00D53F6C"/>
    <w:rsid w:val="00D56E2D"/>
    <w:rsid w:val="00D57802"/>
    <w:rsid w:val="00D57B95"/>
    <w:rsid w:val="00D61D54"/>
    <w:rsid w:val="00D65E4C"/>
    <w:rsid w:val="00D71200"/>
    <w:rsid w:val="00D7337F"/>
    <w:rsid w:val="00D734C0"/>
    <w:rsid w:val="00D777E9"/>
    <w:rsid w:val="00D868AB"/>
    <w:rsid w:val="00D914EE"/>
    <w:rsid w:val="00D93881"/>
    <w:rsid w:val="00D93BDF"/>
    <w:rsid w:val="00D94061"/>
    <w:rsid w:val="00D954B9"/>
    <w:rsid w:val="00D97A80"/>
    <w:rsid w:val="00DA4498"/>
    <w:rsid w:val="00DA7503"/>
    <w:rsid w:val="00DA7846"/>
    <w:rsid w:val="00DB2033"/>
    <w:rsid w:val="00DB222B"/>
    <w:rsid w:val="00DB4EBD"/>
    <w:rsid w:val="00DB58CE"/>
    <w:rsid w:val="00DB69CA"/>
    <w:rsid w:val="00DC139C"/>
    <w:rsid w:val="00DC2CC5"/>
    <w:rsid w:val="00DC3663"/>
    <w:rsid w:val="00DC372D"/>
    <w:rsid w:val="00DC59D2"/>
    <w:rsid w:val="00DC65FF"/>
    <w:rsid w:val="00DD1E19"/>
    <w:rsid w:val="00DD22F1"/>
    <w:rsid w:val="00DD5834"/>
    <w:rsid w:val="00DD59E5"/>
    <w:rsid w:val="00DD6587"/>
    <w:rsid w:val="00DE11DC"/>
    <w:rsid w:val="00DE30E5"/>
    <w:rsid w:val="00DE4DF2"/>
    <w:rsid w:val="00DE77F5"/>
    <w:rsid w:val="00DE7879"/>
    <w:rsid w:val="00DF0F2B"/>
    <w:rsid w:val="00DF29F8"/>
    <w:rsid w:val="00DF2C12"/>
    <w:rsid w:val="00DF3FD8"/>
    <w:rsid w:val="00DF7383"/>
    <w:rsid w:val="00DF7CF3"/>
    <w:rsid w:val="00E013B0"/>
    <w:rsid w:val="00E032D2"/>
    <w:rsid w:val="00E041BC"/>
    <w:rsid w:val="00E048DF"/>
    <w:rsid w:val="00E14123"/>
    <w:rsid w:val="00E16CA7"/>
    <w:rsid w:val="00E179B2"/>
    <w:rsid w:val="00E20334"/>
    <w:rsid w:val="00E20F60"/>
    <w:rsid w:val="00E229E7"/>
    <w:rsid w:val="00E236B8"/>
    <w:rsid w:val="00E2530F"/>
    <w:rsid w:val="00E265D4"/>
    <w:rsid w:val="00E269DA"/>
    <w:rsid w:val="00E33834"/>
    <w:rsid w:val="00E34151"/>
    <w:rsid w:val="00E405FD"/>
    <w:rsid w:val="00E44643"/>
    <w:rsid w:val="00E45661"/>
    <w:rsid w:val="00E45990"/>
    <w:rsid w:val="00E45E3F"/>
    <w:rsid w:val="00E463E5"/>
    <w:rsid w:val="00E46C10"/>
    <w:rsid w:val="00E55223"/>
    <w:rsid w:val="00E57C7B"/>
    <w:rsid w:val="00E679DC"/>
    <w:rsid w:val="00E7387C"/>
    <w:rsid w:val="00E74126"/>
    <w:rsid w:val="00E75D36"/>
    <w:rsid w:val="00E77B29"/>
    <w:rsid w:val="00E80E3A"/>
    <w:rsid w:val="00E819E7"/>
    <w:rsid w:val="00E82311"/>
    <w:rsid w:val="00E84791"/>
    <w:rsid w:val="00E91184"/>
    <w:rsid w:val="00E919EA"/>
    <w:rsid w:val="00E91B17"/>
    <w:rsid w:val="00E92E29"/>
    <w:rsid w:val="00E937A9"/>
    <w:rsid w:val="00E945D0"/>
    <w:rsid w:val="00E9708E"/>
    <w:rsid w:val="00E97BD2"/>
    <w:rsid w:val="00EA1E2C"/>
    <w:rsid w:val="00EA4EA6"/>
    <w:rsid w:val="00EA5219"/>
    <w:rsid w:val="00EB7E5B"/>
    <w:rsid w:val="00EC021E"/>
    <w:rsid w:val="00EC3593"/>
    <w:rsid w:val="00EC397A"/>
    <w:rsid w:val="00ED4280"/>
    <w:rsid w:val="00EE15F9"/>
    <w:rsid w:val="00EE4AF5"/>
    <w:rsid w:val="00EE6D26"/>
    <w:rsid w:val="00EF7976"/>
    <w:rsid w:val="00F045D0"/>
    <w:rsid w:val="00F0556A"/>
    <w:rsid w:val="00F05844"/>
    <w:rsid w:val="00F05974"/>
    <w:rsid w:val="00F17214"/>
    <w:rsid w:val="00F17277"/>
    <w:rsid w:val="00F219FE"/>
    <w:rsid w:val="00F224C3"/>
    <w:rsid w:val="00F22A82"/>
    <w:rsid w:val="00F23A40"/>
    <w:rsid w:val="00F25213"/>
    <w:rsid w:val="00F274CF"/>
    <w:rsid w:val="00F2752E"/>
    <w:rsid w:val="00F37405"/>
    <w:rsid w:val="00F40D55"/>
    <w:rsid w:val="00F40E74"/>
    <w:rsid w:val="00F424D6"/>
    <w:rsid w:val="00F4268A"/>
    <w:rsid w:val="00F4636B"/>
    <w:rsid w:val="00F46A4C"/>
    <w:rsid w:val="00F61334"/>
    <w:rsid w:val="00F624CE"/>
    <w:rsid w:val="00F6304C"/>
    <w:rsid w:val="00F63C54"/>
    <w:rsid w:val="00F70230"/>
    <w:rsid w:val="00F7290F"/>
    <w:rsid w:val="00F74EFA"/>
    <w:rsid w:val="00F75FB8"/>
    <w:rsid w:val="00F77121"/>
    <w:rsid w:val="00F80BBC"/>
    <w:rsid w:val="00F8117D"/>
    <w:rsid w:val="00F81B57"/>
    <w:rsid w:val="00F822C1"/>
    <w:rsid w:val="00F861BB"/>
    <w:rsid w:val="00F86D6B"/>
    <w:rsid w:val="00F90362"/>
    <w:rsid w:val="00F94127"/>
    <w:rsid w:val="00FA3CEE"/>
    <w:rsid w:val="00FA6399"/>
    <w:rsid w:val="00FB01DA"/>
    <w:rsid w:val="00FB11DB"/>
    <w:rsid w:val="00FB12C8"/>
    <w:rsid w:val="00FB1341"/>
    <w:rsid w:val="00FB5CE3"/>
    <w:rsid w:val="00FB5E7C"/>
    <w:rsid w:val="00FC684B"/>
    <w:rsid w:val="00FC7A25"/>
    <w:rsid w:val="00FD0398"/>
    <w:rsid w:val="00FD1EA4"/>
    <w:rsid w:val="00FD2C08"/>
    <w:rsid w:val="00FD42CB"/>
    <w:rsid w:val="00FD485A"/>
    <w:rsid w:val="00FD5FAC"/>
    <w:rsid w:val="00FD74E4"/>
    <w:rsid w:val="00FD7E23"/>
    <w:rsid w:val="00FE2683"/>
    <w:rsid w:val="00FE394D"/>
    <w:rsid w:val="00FE6292"/>
    <w:rsid w:val="00FE7331"/>
    <w:rsid w:val="00FF535A"/>
    <w:rsid w:val="00FF75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8B53"/>
  <w15:chartTrackingRefBased/>
  <w15:docId w15:val="{C6983822-7EDA-4ABE-A523-A3895DD5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4000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4000E"/>
    <w:rPr>
      <w:sz w:val="20"/>
      <w:szCs w:val="20"/>
    </w:rPr>
  </w:style>
  <w:style w:type="character" w:styleId="Appelnotedebasdep">
    <w:name w:val="footnote reference"/>
    <w:basedOn w:val="Policepardfaut"/>
    <w:uiPriority w:val="99"/>
    <w:semiHidden/>
    <w:unhideWhenUsed/>
    <w:rsid w:val="0034000E"/>
    <w:rPr>
      <w:vertAlign w:val="superscript"/>
    </w:rPr>
  </w:style>
  <w:style w:type="paragraph" w:styleId="Paragraphedeliste">
    <w:name w:val="List Paragraph"/>
    <w:basedOn w:val="Normal"/>
    <w:uiPriority w:val="34"/>
    <w:qFormat/>
    <w:rsid w:val="00C07A7B"/>
    <w:pPr>
      <w:ind w:left="720"/>
      <w:contextualSpacing/>
    </w:pPr>
  </w:style>
  <w:style w:type="character" w:styleId="Lienhypertexte">
    <w:name w:val="Hyperlink"/>
    <w:basedOn w:val="Policepardfaut"/>
    <w:uiPriority w:val="99"/>
    <w:semiHidden/>
    <w:unhideWhenUsed/>
    <w:rsid w:val="0035533D"/>
    <w:rPr>
      <w:color w:val="0000FF"/>
      <w:u w:val="single"/>
    </w:rPr>
  </w:style>
  <w:style w:type="paragraph" w:styleId="En-tte">
    <w:name w:val="header"/>
    <w:basedOn w:val="Normal"/>
    <w:link w:val="En-tteCar"/>
    <w:uiPriority w:val="99"/>
    <w:unhideWhenUsed/>
    <w:rsid w:val="005D2D65"/>
    <w:pPr>
      <w:tabs>
        <w:tab w:val="center" w:pos="4536"/>
        <w:tab w:val="right" w:pos="9072"/>
      </w:tabs>
      <w:spacing w:after="0" w:line="240" w:lineRule="auto"/>
    </w:pPr>
  </w:style>
  <w:style w:type="character" w:customStyle="1" w:styleId="En-tteCar">
    <w:name w:val="En-tête Car"/>
    <w:basedOn w:val="Policepardfaut"/>
    <w:link w:val="En-tte"/>
    <w:uiPriority w:val="99"/>
    <w:rsid w:val="005D2D65"/>
  </w:style>
  <w:style w:type="paragraph" w:styleId="Pieddepage">
    <w:name w:val="footer"/>
    <w:basedOn w:val="Normal"/>
    <w:link w:val="PieddepageCar"/>
    <w:uiPriority w:val="99"/>
    <w:unhideWhenUsed/>
    <w:rsid w:val="005D2D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2D65"/>
  </w:style>
  <w:style w:type="paragraph" w:styleId="Titre">
    <w:name w:val="Title"/>
    <w:basedOn w:val="Normal"/>
    <w:next w:val="Normal"/>
    <w:link w:val="TitreCar"/>
    <w:uiPriority w:val="10"/>
    <w:qFormat/>
    <w:rsid w:val="009460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460EE"/>
    <w:rPr>
      <w:rFonts w:asciiTheme="majorHAnsi" w:eastAsiaTheme="majorEastAsia" w:hAnsiTheme="majorHAnsi" w:cstheme="majorBidi"/>
      <w:spacing w:val="-10"/>
      <w:kern w:val="28"/>
      <w:sz w:val="56"/>
      <w:szCs w:val="56"/>
    </w:rPr>
  </w:style>
  <w:style w:type="paragraph" w:styleId="Textedebulles">
    <w:name w:val="Balloon Text"/>
    <w:basedOn w:val="Normal"/>
    <w:link w:val="TextedebullesCar"/>
    <w:uiPriority w:val="99"/>
    <w:semiHidden/>
    <w:unhideWhenUsed/>
    <w:rsid w:val="009460E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60EE"/>
    <w:rPr>
      <w:rFonts w:ascii="Segoe UI" w:hAnsi="Segoe UI" w:cs="Segoe UI"/>
      <w:sz w:val="18"/>
      <w:szCs w:val="18"/>
    </w:rPr>
  </w:style>
  <w:style w:type="paragraph" w:styleId="Sous-titre">
    <w:name w:val="Subtitle"/>
    <w:basedOn w:val="Normal"/>
    <w:next w:val="Normal"/>
    <w:link w:val="Sous-titreCar"/>
    <w:uiPriority w:val="11"/>
    <w:qFormat/>
    <w:rsid w:val="009460EE"/>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9460E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ABAA5-E30C-401B-810B-F439D2D9A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4247</Characters>
  <Application>Microsoft Office Word</Application>
  <DocSecurity>0</DocSecurity>
  <Lines>65</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Jennifer Sevrin</cp:lastModifiedBy>
  <cp:revision>3</cp:revision>
  <dcterms:created xsi:type="dcterms:W3CDTF">2021-06-15T11:54:00Z</dcterms:created>
  <dcterms:modified xsi:type="dcterms:W3CDTF">2021-06-15T11:54:00Z</dcterms:modified>
</cp:coreProperties>
</file>